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9E3C" w14:textId="77777777" w:rsidR="00755EDE" w:rsidRDefault="00755EDE" w:rsidP="00A81C43">
      <w:pPr>
        <w:tabs>
          <w:tab w:val="left" w:pos="1134"/>
        </w:tabs>
        <w:rPr>
          <w:rFonts w:ascii="Verdana" w:hAnsi="Verdana"/>
          <w:sz w:val="18"/>
          <w:szCs w:val="18"/>
        </w:rPr>
      </w:pPr>
    </w:p>
    <w:p w14:paraId="589239CC" w14:textId="0BA33840" w:rsidR="00A81C43" w:rsidRDefault="00A81C43" w:rsidP="00A81C43">
      <w:pPr>
        <w:tabs>
          <w:tab w:val="left" w:pos="1134"/>
        </w:tabs>
        <w:rPr>
          <w:rFonts w:ascii="Verdana" w:hAnsi="Verdana"/>
          <w:sz w:val="18"/>
          <w:szCs w:val="18"/>
        </w:rPr>
      </w:pPr>
      <w:r>
        <w:rPr>
          <w:rFonts w:ascii="Verdana" w:hAnsi="Verdana"/>
          <w:sz w:val="18"/>
          <w:szCs w:val="18"/>
        </w:rPr>
      </w:r>
      <w:bookmarkStart w:id="0" w:name="Tekst1"/>
      <w:r>
        <w:rPr>
          <w:rFonts w:ascii="Verdana" w:hAnsi="Verdana"/>
          <w:sz w:val="18"/>
          <w:szCs w:val="18"/>
        </w:rPr>
        <w:instrText xml:space="preserve"/>
      </w:r>
      <w:r>
        <w:rPr>
          <w:rFonts w:ascii="Verdana" w:hAnsi="Verdana"/>
          <w:sz w:val="18"/>
          <w:szCs w:val="18"/>
        </w:rPr>
      </w:r>
      <w:r>
        <w:rPr>
          <w:rFonts w:ascii="Verdana" w:hAnsi="Verdana"/>
          <w:sz w:val="18"/>
          <w:szCs w:val="18"/>
        </w:rPr>
      </w:r>
      <w:r>
        <w:rPr>
          <w:rFonts w:ascii="Verdana" w:hAnsi="Verdana"/>
          <w:noProof/>
          <w:sz w:val="18"/>
          <w:szCs w:val="18"/>
        </w:rPr>
        <w:t>Alle grundejere i Grundejerforeningen Strandholm</w:t>
      </w:r>
      <w:r>
        <w:rPr>
          <w:rFonts w:ascii="Verdana" w:hAnsi="Verdana"/>
          <w:sz w:val="18"/>
          <w:szCs w:val="18"/>
        </w:rPr>
      </w:r>
      <w:bookmarkEnd w:id="0"/>
    </w:p>
    <w:p w14:paraId="38676321" w14:textId="77777777" w:rsidR="00A81C43" w:rsidRDefault="00A81C43" w:rsidP="00A81C43">
      <w:pPr>
        <w:tabs>
          <w:tab w:val="left" w:pos="1134"/>
        </w:tabs>
        <w:rPr>
          <w:rFonts w:ascii="Verdana" w:hAnsi="Verdana"/>
          <w:sz w:val="18"/>
          <w:szCs w:val="18"/>
        </w:rPr>
      </w:pPr>
      <w:r>
        <w:rPr>
          <w:rFonts w:ascii="Verdana" w:hAnsi="Verdana"/>
          <w:sz w:val="18"/>
          <w:szCs w:val="18"/>
        </w:rPr>
      </w:r>
      <w:bookmarkStart w:id="1" w:name="Tekst3"/>
      <w:r>
        <w:rPr>
          <w:rFonts w:ascii="Verdana" w:hAnsi="Verdana"/>
          <w:sz w:val="18"/>
          <w:szCs w:val="18"/>
        </w:rPr>
        <w:instrText xml:space="preserve"/>
      </w:r>
      <w:r>
        <w:rPr>
          <w:rFonts w:ascii="Verdana" w:hAnsi="Verdana"/>
          <w:sz w:val="18"/>
          <w:szCs w:val="18"/>
        </w:rPr>
      </w:r>
      <w:r>
        <w:rPr>
          <w:rFonts w:ascii="Verdana" w:hAnsi="Verdana"/>
          <w:sz w:val="18"/>
          <w:szCs w:val="18"/>
        </w:rPr>
      </w:r>
      <w:r>
        <w:rPr>
          <w:rFonts w:ascii="Verdana" w:hAnsi="Verdana"/>
          <w:noProof/>
          <w:sz w:val="18"/>
          <w:szCs w:val="18"/>
        </w:rPr>
        <w:t>Sendt via mail og lagt på foreningen facebook</w:t>
      </w:r>
      <w:r>
        <w:rPr>
          <w:rFonts w:ascii="Verdana" w:hAnsi="Verdana"/>
          <w:sz w:val="18"/>
          <w:szCs w:val="18"/>
        </w:rPr>
      </w:r>
      <w:bookmarkEnd w:id="1"/>
      <w:r>
        <w:rPr>
          <w:rFonts w:ascii="Verdana" w:hAnsi="Verdana"/>
          <w:sz w:val="18"/>
          <w:szCs w:val="18"/>
        </w:rPr>
        <w:t>gruppe</w:t>
      </w:r>
    </w:p>
    <w:p w14:paraId="7152A8C0" w14:textId="2C101301" w:rsidR="00A81C43" w:rsidRDefault="00A81C43" w:rsidP="00A81C43">
      <w:pPr>
        <w:tabs>
          <w:tab w:val="left" w:pos="1134"/>
        </w:tabs>
        <w:rPr>
          <w:rFonts w:ascii="Verdana" w:hAnsi="Verdana"/>
          <w:sz w:val="18"/>
          <w:szCs w:val="18"/>
        </w:rPr>
      </w:pPr>
    </w:p>
    <w:p w14:paraId="7FB5D178" w14:textId="77777777" w:rsidR="00755EDE" w:rsidRDefault="00755EDE" w:rsidP="00A81C43">
      <w:pPr>
        <w:tabs>
          <w:tab w:val="left" w:pos="1134"/>
        </w:tabs>
        <w:rPr>
          <w:rFonts w:ascii="Verdana" w:hAnsi="Verdana"/>
          <w:sz w:val="18"/>
          <w:szCs w:val="18"/>
        </w:rPr>
      </w:pPr>
    </w:p>
    <w:p w14:paraId="69BBC73C" w14:textId="6828BA78" w:rsidR="00A81C43" w:rsidRDefault="00A81C43" w:rsidP="00A81C43">
      <w:pPr>
        <w:tabs>
          <w:tab w:val="left" w:pos="1134"/>
        </w:tabs>
        <w:rPr>
          <w:rFonts w:ascii="Verdana" w:hAnsi="Verdana"/>
          <w:b/>
          <w:sz w:val="22"/>
          <w:szCs w:val="22"/>
        </w:rPr>
      </w:pPr>
      <w:r>
        <w:rPr>
          <w:rFonts w:ascii="Verdana" w:hAnsi="Verdana"/>
          <w:b/>
          <w:sz w:val="22"/>
          <w:szCs w:val="22"/>
        </w:rPr>
        <w:t>Orientering om arbejdsgruppens arbejde med b</w:t>
      </w:r>
      <w:r w:rsidRPr="00A81C43">
        <w:rPr>
          <w:rFonts w:ascii="Verdana" w:hAnsi="Verdana"/>
          <w:b/>
          <w:sz w:val="22"/>
          <w:szCs w:val="22"/>
        </w:rPr>
        <w:t>yggegrund på grunden Strandholms Alle 38-40</w:t>
      </w:r>
    </w:p>
    <w:p w14:paraId="7705CF53" w14:textId="3F528430" w:rsidR="00A81C43" w:rsidRDefault="00A81C43" w:rsidP="00A81C43">
      <w:pPr>
        <w:tabs>
          <w:tab w:val="left" w:pos="1134"/>
        </w:tabs>
        <w:jc w:val="center"/>
        <w:rPr>
          <w:rFonts w:ascii="Verdana" w:hAnsi="Verdana"/>
          <w:b/>
          <w:sz w:val="18"/>
          <w:szCs w:val="18"/>
        </w:rPr>
      </w:pPr>
    </w:p>
    <w:p w14:paraId="55FFB5B6" w14:textId="77777777" w:rsidR="00D26858" w:rsidRDefault="00D26858" w:rsidP="00A81C43">
      <w:pPr>
        <w:tabs>
          <w:tab w:val="left" w:pos="1134"/>
        </w:tabs>
        <w:rPr>
          <w:rFonts w:ascii="Verdana" w:hAnsi="Verdana"/>
          <w:sz w:val="18"/>
          <w:szCs w:val="18"/>
        </w:rPr>
      </w:pPr>
      <w:r>
        <w:rPr>
          <w:rFonts w:ascii="Verdana" w:hAnsi="Verdana"/>
          <w:sz w:val="18"/>
          <w:szCs w:val="18"/>
        </w:rPr>
        <w:t>Arbejdsgruppen har arbejdet i to spor, et juridisk og politisk</w:t>
      </w:r>
    </w:p>
    <w:p w14:paraId="69F95843" w14:textId="6A441B99" w:rsidR="00D26858" w:rsidRDefault="00A81C43" w:rsidP="00A81C43">
      <w:pPr>
        <w:tabs>
          <w:tab w:val="left" w:pos="1134"/>
        </w:tabs>
        <w:rPr>
          <w:rFonts w:ascii="Verdana" w:hAnsi="Verdana"/>
          <w:sz w:val="18"/>
          <w:szCs w:val="18"/>
        </w:rPr>
      </w:pPr>
      <w:r>
        <w:rPr>
          <w:rFonts w:ascii="Verdana" w:hAnsi="Verdana"/>
          <w:sz w:val="18"/>
          <w:szCs w:val="18"/>
        </w:rPr>
        <w:t>Status for nuværende er at arbejdsgruppen har bilagt sagen juridisk</w:t>
      </w:r>
      <w:r w:rsidR="00D26858">
        <w:rPr>
          <w:rFonts w:ascii="Verdana" w:hAnsi="Verdana"/>
          <w:sz w:val="18"/>
          <w:szCs w:val="18"/>
        </w:rPr>
        <w:t>, men forsat arbejdet på sagen politisk.</w:t>
      </w:r>
    </w:p>
    <w:p w14:paraId="51E3A914" w14:textId="25DA3EB5" w:rsidR="00755EDE" w:rsidRDefault="00755EDE" w:rsidP="00A81C43">
      <w:pPr>
        <w:tabs>
          <w:tab w:val="left" w:pos="1134"/>
        </w:tabs>
        <w:rPr>
          <w:rFonts w:ascii="Verdana" w:hAnsi="Verdana"/>
          <w:sz w:val="18"/>
          <w:szCs w:val="18"/>
        </w:rPr>
      </w:pPr>
    </w:p>
    <w:p w14:paraId="40A46272" w14:textId="71C94B70" w:rsidR="00755EDE" w:rsidRDefault="00755EDE" w:rsidP="00A81C43">
      <w:pPr>
        <w:tabs>
          <w:tab w:val="left" w:pos="1134"/>
        </w:tabs>
        <w:rPr>
          <w:rFonts w:ascii="Verdana" w:hAnsi="Verdana"/>
          <w:sz w:val="18"/>
          <w:szCs w:val="18"/>
        </w:rPr>
      </w:pPr>
      <w:r>
        <w:rPr>
          <w:rFonts w:ascii="Verdana" w:hAnsi="Verdana"/>
          <w:sz w:val="18"/>
          <w:szCs w:val="18"/>
        </w:rPr>
        <w:t>Vi har vedlagt et uddrag af dokumenterne fra arbejdsgruppen, men langt fra alle.</w:t>
      </w:r>
    </w:p>
    <w:p w14:paraId="4D7E856A" w14:textId="77777777" w:rsidR="00D26858" w:rsidRDefault="00D26858" w:rsidP="00A81C43">
      <w:pPr>
        <w:tabs>
          <w:tab w:val="left" w:pos="1134"/>
        </w:tabs>
        <w:rPr>
          <w:rFonts w:ascii="Verdana" w:hAnsi="Verdana"/>
          <w:sz w:val="18"/>
          <w:szCs w:val="18"/>
        </w:rPr>
      </w:pPr>
    </w:p>
    <w:p w14:paraId="7635470A" w14:textId="0E0DFCE4" w:rsidR="00A81C43" w:rsidRPr="00D26858" w:rsidRDefault="00D26858" w:rsidP="00A81C43">
      <w:pPr>
        <w:tabs>
          <w:tab w:val="left" w:pos="1134"/>
        </w:tabs>
        <w:rPr>
          <w:rFonts w:ascii="Verdana" w:hAnsi="Verdana"/>
          <w:sz w:val="18"/>
          <w:szCs w:val="18"/>
          <w:u w:val="single"/>
        </w:rPr>
      </w:pPr>
      <w:r w:rsidRPr="00D26858">
        <w:rPr>
          <w:rFonts w:ascii="Verdana" w:hAnsi="Verdana"/>
          <w:sz w:val="18"/>
          <w:szCs w:val="18"/>
          <w:u w:val="single"/>
        </w:rPr>
        <w:t xml:space="preserve">Gennemgang af det juridiske spor </w:t>
      </w:r>
      <w:r w:rsidR="00A81C43" w:rsidRPr="00D26858">
        <w:rPr>
          <w:rFonts w:ascii="Verdana" w:hAnsi="Verdana"/>
          <w:sz w:val="18"/>
          <w:szCs w:val="18"/>
          <w:u w:val="single"/>
        </w:rPr>
        <w:t xml:space="preserve"> </w:t>
      </w:r>
    </w:p>
    <w:p w14:paraId="35F7D524" w14:textId="77777777" w:rsidR="00A81C43" w:rsidRDefault="00A81C43" w:rsidP="00A81C43">
      <w:pPr>
        <w:tabs>
          <w:tab w:val="left" w:pos="1134"/>
        </w:tabs>
        <w:rPr>
          <w:rFonts w:ascii="Verdana" w:hAnsi="Verdana"/>
          <w:sz w:val="18"/>
          <w:szCs w:val="18"/>
        </w:rPr>
      </w:pPr>
    </w:p>
    <w:p w14:paraId="64FC529A" w14:textId="409AEBBF" w:rsidR="00A81C43" w:rsidRDefault="00A81C43" w:rsidP="00A81C43">
      <w:pPr>
        <w:tabs>
          <w:tab w:val="left" w:pos="1134"/>
        </w:tabs>
        <w:rPr>
          <w:rFonts w:ascii="Verdana" w:hAnsi="Verdana"/>
          <w:sz w:val="18"/>
          <w:szCs w:val="18"/>
        </w:rPr>
      </w:pPr>
      <w:r>
        <w:rPr>
          <w:rFonts w:ascii="Verdana" w:hAnsi="Verdana"/>
          <w:sz w:val="18"/>
          <w:szCs w:val="18"/>
        </w:rPr>
        <w:t>En gruppe af grundejere ha</w:t>
      </w:r>
      <w:r w:rsidR="00D26858">
        <w:rPr>
          <w:rFonts w:ascii="Verdana" w:hAnsi="Verdana"/>
          <w:sz w:val="18"/>
          <w:szCs w:val="18"/>
        </w:rPr>
        <w:t>vde</w:t>
      </w:r>
      <w:r>
        <w:rPr>
          <w:rFonts w:ascii="Verdana" w:hAnsi="Verdana"/>
          <w:sz w:val="18"/>
          <w:szCs w:val="18"/>
        </w:rPr>
        <w:t xml:space="preserve"> re</w:t>
      </w:r>
      <w:r w:rsidR="00D26858">
        <w:rPr>
          <w:rFonts w:ascii="Verdana" w:hAnsi="Verdana"/>
          <w:sz w:val="18"/>
          <w:szCs w:val="18"/>
        </w:rPr>
        <w:t>jst</w:t>
      </w:r>
      <w:r>
        <w:rPr>
          <w:rFonts w:ascii="Verdana" w:hAnsi="Verdana"/>
          <w:sz w:val="18"/>
          <w:szCs w:val="18"/>
        </w:rPr>
        <w:t xml:space="preserve"> sagen i landsretten med henblik på at omstøde tinglysningen afgørelse om aflysning af servitutter</w:t>
      </w:r>
      <w:r w:rsidR="00D26858">
        <w:rPr>
          <w:rFonts w:ascii="Verdana" w:hAnsi="Verdana"/>
          <w:sz w:val="18"/>
          <w:szCs w:val="18"/>
        </w:rPr>
        <w:t>ne</w:t>
      </w:r>
      <w:r>
        <w:rPr>
          <w:rFonts w:ascii="Verdana" w:hAnsi="Verdana"/>
          <w:sz w:val="18"/>
          <w:szCs w:val="18"/>
        </w:rPr>
        <w:t>. Grundejerne fik ikke medhold og ansøgte efter</w:t>
      </w:r>
      <w:r w:rsidR="00D26858">
        <w:rPr>
          <w:rFonts w:ascii="Verdana" w:hAnsi="Verdana"/>
          <w:sz w:val="18"/>
          <w:szCs w:val="18"/>
        </w:rPr>
        <w:t>følgende</w:t>
      </w:r>
      <w:r>
        <w:rPr>
          <w:rFonts w:ascii="Verdana" w:hAnsi="Verdana"/>
          <w:sz w:val="18"/>
          <w:szCs w:val="18"/>
        </w:rPr>
        <w:t xml:space="preserve"> procesbevillingsnævnte med henblik på</w:t>
      </w:r>
      <w:r w:rsidR="00D26858">
        <w:rPr>
          <w:rFonts w:ascii="Verdana" w:hAnsi="Verdana"/>
          <w:sz w:val="18"/>
          <w:szCs w:val="18"/>
        </w:rPr>
        <w:t>,</w:t>
      </w:r>
      <w:r>
        <w:rPr>
          <w:rFonts w:ascii="Verdana" w:hAnsi="Verdana"/>
          <w:sz w:val="18"/>
          <w:szCs w:val="18"/>
        </w:rPr>
        <w:t xml:space="preserve"> at føre sagen for højesteret. P</w:t>
      </w:r>
      <w:r w:rsidRPr="00A81C43">
        <w:rPr>
          <w:rFonts w:ascii="Verdana" w:hAnsi="Verdana"/>
          <w:sz w:val="18"/>
          <w:szCs w:val="18"/>
        </w:rPr>
        <w:t>rocesbevillingsnævnte</w:t>
      </w:r>
      <w:r>
        <w:rPr>
          <w:rFonts w:ascii="Verdana" w:hAnsi="Verdana"/>
          <w:sz w:val="18"/>
          <w:szCs w:val="18"/>
        </w:rPr>
        <w:t xml:space="preserve"> afgav sin kendelse d. 3. februar 2022, og fandt ikke grund</w:t>
      </w:r>
      <w:r w:rsidR="00D26858">
        <w:rPr>
          <w:rFonts w:ascii="Verdana" w:hAnsi="Verdana"/>
          <w:sz w:val="18"/>
          <w:szCs w:val="18"/>
        </w:rPr>
        <w:t>lag</w:t>
      </w:r>
      <w:r>
        <w:rPr>
          <w:rFonts w:ascii="Verdana" w:hAnsi="Verdana"/>
          <w:sz w:val="18"/>
          <w:szCs w:val="18"/>
        </w:rPr>
        <w:t xml:space="preserve"> for at sagen kunne ankes til højesteret. Dermed syntes de </w:t>
      </w:r>
      <w:r w:rsidR="00D26858">
        <w:rPr>
          <w:rFonts w:ascii="Verdana" w:hAnsi="Verdana"/>
          <w:sz w:val="18"/>
          <w:szCs w:val="18"/>
        </w:rPr>
        <w:t>juridiske</w:t>
      </w:r>
      <w:r>
        <w:rPr>
          <w:rFonts w:ascii="Verdana" w:hAnsi="Verdana"/>
          <w:sz w:val="18"/>
          <w:szCs w:val="18"/>
        </w:rPr>
        <w:t xml:space="preserve"> muligheder afsøgt.</w:t>
      </w:r>
    </w:p>
    <w:p w14:paraId="1252D2D6" w14:textId="0E6F040F" w:rsidR="00011292" w:rsidRDefault="00011292" w:rsidP="00A81C43">
      <w:pPr>
        <w:tabs>
          <w:tab w:val="left" w:pos="1134"/>
        </w:tabs>
        <w:rPr>
          <w:rFonts w:ascii="Verdana" w:hAnsi="Verdana"/>
          <w:sz w:val="18"/>
          <w:szCs w:val="18"/>
        </w:rPr>
      </w:pPr>
    </w:p>
    <w:p w14:paraId="53FB5C49" w14:textId="666A0902" w:rsidR="00011292" w:rsidRDefault="00011292" w:rsidP="00A81C43">
      <w:pPr>
        <w:tabs>
          <w:tab w:val="left" w:pos="1134"/>
        </w:tabs>
        <w:rPr>
          <w:rFonts w:ascii="Verdana" w:hAnsi="Verdana"/>
          <w:sz w:val="18"/>
          <w:szCs w:val="18"/>
        </w:rPr>
      </w:pPr>
      <w:r>
        <w:rPr>
          <w:rFonts w:ascii="Verdana" w:hAnsi="Verdana"/>
          <w:sz w:val="18"/>
          <w:szCs w:val="18"/>
        </w:rPr>
        <w:t xml:space="preserve">I processen har grundejernes advokat kontaktet bygherren advokat flere gange uden at de ville være behjælpeligt overhoved. Blandt andet svare bygherres advokat </w:t>
      </w:r>
      <w:r w:rsidRPr="00011292">
        <w:rPr>
          <w:rFonts w:ascii="Verdana" w:hAnsi="Verdana"/>
          <w:sz w:val="18"/>
          <w:szCs w:val="18"/>
        </w:rPr>
        <w:t>Joachim S Christensen</w:t>
      </w:r>
      <w:r>
        <w:rPr>
          <w:rFonts w:ascii="Verdana" w:hAnsi="Verdana"/>
          <w:sz w:val="18"/>
          <w:szCs w:val="18"/>
        </w:rPr>
        <w:t xml:space="preserve"> d. 2. juli 2021, at han har lukket sagen, dette er selvsamme advokat </w:t>
      </w:r>
      <w:r w:rsidRPr="00011292">
        <w:rPr>
          <w:rFonts w:ascii="Verdana" w:hAnsi="Verdana"/>
          <w:sz w:val="18"/>
          <w:szCs w:val="18"/>
        </w:rPr>
        <w:t>Joachim S Christensen</w:t>
      </w:r>
      <w:r>
        <w:rPr>
          <w:rFonts w:ascii="Verdana" w:hAnsi="Verdana"/>
          <w:sz w:val="18"/>
          <w:szCs w:val="18"/>
        </w:rPr>
        <w:t xml:space="preserve"> som deltog på grundejerforeningens ekstraordinære generalforsamling d. 6. juni 2021.</w:t>
      </w:r>
    </w:p>
    <w:p w14:paraId="0CE87C5A" w14:textId="4DF74E61" w:rsidR="00B66E36" w:rsidRDefault="00B66E36" w:rsidP="00A81C43">
      <w:pPr>
        <w:tabs>
          <w:tab w:val="left" w:pos="1134"/>
        </w:tabs>
        <w:rPr>
          <w:rFonts w:ascii="Verdana" w:hAnsi="Verdana"/>
          <w:sz w:val="18"/>
          <w:szCs w:val="18"/>
        </w:rPr>
      </w:pPr>
    </w:p>
    <w:p w14:paraId="2386B63B" w14:textId="5AFEDB3A" w:rsidR="00B66E36" w:rsidRDefault="00B66E36" w:rsidP="00A81C43">
      <w:pPr>
        <w:tabs>
          <w:tab w:val="left" w:pos="1134"/>
        </w:tabs>
        <w:rPr>
          <w:rFonts w:ascii="Verdana" w:hAnsi="Verdana"/>
          <w:sz w:val="18"/>
          <w:szCs w:val="18"/>
        </w:rPr>
      </w:pPr>
      <w:r>
        <w:rPr>
          <w:rFonts w:ascii="Verdana" w:hAnsi="Verdana"/>
          <w:sz w:val="18"/>
          <w:szCs w:val="18"/>
        </w:rPr>
        <w:t xml:space="preserve">Det er vigtigt at pointere at hverken landsretten, eller procesbevillingsnævnet har taget stilling til sagens konkrete indhold og kontekst. Deres afgørelser beror sig alene på om hvorvidt sagen er principiel eller ekstraordinær nok til at kunne genoptages. </w:t>
      </w:r>
    </w:p>
    <w:p w14:paraId="11F0D2EE" w14:textId="5ED8A04B" w:rsidR="00D26858" w:rsidRDefault="00D26858" w:rsidP="00A81C43">
      <w:pPr>
        <w:tabs>
          <w:tab w:val="left" w:pos="1134"/>
        </w:tabs>
        <w:rPr>
          <w:rFonts w:ascii="Verdana" w:hAnsi="Verdana"/>
          <w:sz w:val="18"/>
          <w:szCs w:val="18"/>
        </w:rPr>
      </w:pPr>
    </w:p>
    <w:p w14:paraId="378A410D" w14:textId="39045360" w:rsidR="00D26858" w:rsidRDefault="00D26858" w:rsidP="00A81C43">
      <w:pPr>
        <w:tabs>
          <w:tab w:val="left" w:pos="1134"/>
        </w:tabs>
        <w:rPr>
          <w:rFonts w:ascii="Verdana" w:hAnsi="Verdana"/>
          <w:sz w:val="18"/>
          <w:szCs w:val="18"/>
        </w:rPr>
      </w:pPr>
      <w:r>
        <w:rPr>
          <w:rFonts w:ascii="Verdana" w:hAnsi="Verdana"/>
          <w:sz w:val="18"/>
          <w:szCs w:val="18"/>
        </w:rPr>
        <w:t>Alle omkostninger til at føre sagen har været afholdt af individuelle grundejere.</w:t>
      </w:r>
    </w:p>
    <w:p w14:paraId="36E9AAC8" w14:textId="3D498A28" w:rsidR="00D26858" w:rsidRDefault="00D26858" w:rsidP="00A81C43">
      <w:pPr>
        <w:tabs>
          <w:tab w:val="left" w:pos="1134"/>
        </w:tabs>
        <w:rPr>
          <w:rFonts w:ascii="Verdana" w:hAnsi="Verdana"/>
          <w:sz w:val="18"/>
          <w:szCs w:val="18"/>
        </w:rPr>
      </w:pPr>
    </w:p>
    <w:p w14:paraId="267BD42A" w14:textId="76D6B10A" w:rsidR="00D26858" w:rsidRPr="00D26858" w:rsidRDefault="00D26858" w:rsidP="00D26858">
      <w:pPr>
        <w:tabs>
          <w:tab w:val="left" w:pos="1134"/>
        </w:tabs>
        <w:rPr>
          <w:rFonts w:ascii="Verdana" w:hAnsi="Verdana"/>
          <w:sz w:val="18"/>
          <w:szCs w:val="18"/>
          <w:u w:val="single"/>
        </w:rPr>
      </w:pPr>
      <w:r w:rsidRPr="00D26858">
        <w:rPr>
          <w:rFonts w:ascii="Verdana" w:hAnsi="Verdana"/>
          <w:sz w:val="18"/>
          <w:szCs w:val="18"/>
          <w:u w:val="single"/>
        </w:rPr>
        <w:t xml:space="preserve">Gennemgang af det </w:t>
      </w:r>
      <w:r w:rsidR="00011292">
        <w:rPr>
          <w:rFonts w:ascii="Verdana" w:hAnsi="Verdana"/>
          <w:sz w:val="18"/>
          <w:szCs w:val="18"/>
          <w:u w:val="single"/>
        </w:rPr>
        <w:t>politiske</w:t>
      </w:r>
      <w:r w:rsidRPr="00D26858">
        <w:rPr>
          <w:rFonts w:ascii="Verdana" w:hAnsi="Verdana"/>
          <w:sz w:val="18"/>
          <w:szCs w:val="18"/>
          <w:u w:val="single"/>
        </w:rPr>
        <w:t xml:space="preserve"> spor  </w:t>
      </w:r>
    </w:p>
    <w:p w14:paraId="10CE16B7" w14:textId="77777777" w:rsidR="00D26858" w:rsidRDefault="00D26858" w:rsidP="00A81C43">
      <w:pPr>
        <w:tabs>
          <w:tab w:val="left" w:pos="1134"/>
        </w:tabs>
        <w:rPr>
          <w:rFonts w:ascii="Verdana" w:hAnsi="Verdana"/>
          <w:sz w:val="18"/>
          <w:szCs w:val="18"/>
        </w:rPr>
      </w:pPr>
    </w:p>
    <w:p w14:paraId="444EA9DD" w14:textId="374C7AD0" w:rsidR="00D26858" w:rsidRDefault="00D26858" w:rsidP="00A81C43">
      <w:pPr>
        <w:tabs>
          <w:tab w:val="left" w:pos="1134"/>
        </w:tabs>
        <w:rPr>
          <w:rFonts w:ascii="Verdana" w:hAnsi="Verdana"/>
          <w:sz w:val="18"/>
          <w:szCs w:val="18"/>
        </w:rPr>
      </w:pPr>
      <w:r>
        <w:rPr>
          <w:rFonts w:ascii="Verdana" w:hAnsi="Verdana"/>
          <w:sz w:val="18"/>
          <w:szCs w:val="18"/>
        </w:rPr>
        <w:t>En gruppe af grundejere har været i dialog med borgmesteren</w:t>
      </w:r>
      <w:r w:rsidR="00755EDE">
        <w:rPr>
          <w:rFonts w:ascii="Verdana" w:hAnsi="Verdana"/>
          <w:sz w:val="18"/>
          <w:szCs w:val="18"/>
        </w:rPr>
        <w:t>, og kommunalbestyrelsen,</w:t>
      </w:r>
      <w:r>
        <w:rPr>
          <w:rFonts w:ascii="Verdana" w:hAnsi="Verdana"/>
          <w:sz w:val="18"/>
          <w:szCs w:val="18"/>
        </w:rPr>
        <w:t xml:space="preserve"> og administrationen i Hvidovre Kommune vedrørende byggegrunde</w:t>
      </w:r>
      <w:r w:rsidR="00011292">
        <w:rPr>
          <w:rFonts w:ascii="Verdana" w:hAnsi="Verdana"/>
          <w:sz w:val="18"/>
          <w:szCs w:val="18"/>
        </w:rPr>
        <w:t>n og servitutterne.</w:t>
      </w:r>
    </w:p>
    <w:p w14:paraId="1AB8DD86" w14:textId="74F8EAD9" w:rsidR="00011292" w:rsidRDefault="00011292" w:rsidP="00A81C43">
      <w:pPr>
        <w:tabs>
          <w:tab w:val="left" w:pos="1134"/>
        </w:tabs>
        <w:rPr>
          <w:rFonts w:ascii="Verdana" w:hAnsi="Verdana"/>
          <w:sz w:val="18"/>
          <w:szCs w:val="18"/>
        </w:rPr>
      </w:pPr>
      <w:r>
        <w:rPr>
          <w:rFonts w:ascii="Verdana" w:hAnsi="Verdana"/>
          <w:sz w:val="18"/>
          <w:szCs w:val="18"/>
        </w:rPr>
        <w:t>Grundejerne har været i tæt dialog med enkelte kommunalbestyrelsesmedlemmer, samt Hvidovre Avis.</w:t>
      </w:r>
    </w:p>
    <w:p w14:paraId="0F1F86E5" w14:textId="61CF56DC" w:rsidR="00011292" w:rsidRDefault="00D26858" w:rsidP="00A81C43">
      <w:pPr>
        <w:tabs>
          <w:tab w:val="left" w:pos="1134"/>
        </w:tabs>
        <w:rPr>
          <w:rFonts w:ascii="Verdana" w:hAnsi="Verdana"/>
          <w:sz w:val="18"/>
          <w:szCs w:val="18"/>
        </w:rPr>
      </w:pPr>
      <w:r>
        <w:rPr>
          <w:rFonts w:ascii="Verdana" w:hAnsi="Verdana"/>
          <w:sz w:val="18"/>
          <w:szCs w:val="18"/>
        </w:rPr>
        <w:t>Grundejerne har også været i dialog med sammenslutningen af grundejerforeninger i Hvidovre om byggegrunden og andre grundejerforeninger</w:t>
      </w:r>
      <w:r w:rsidR="00755EDE">
        <w:rPr>
          <w:rFonts w:ascii="Verdana" w:hAnsi="Verdana"/>
          <w:sz w:val="18"/>
          <w:szCs w:val="18"/>
        </w:rPr>
        <w:t xml:space="preserve">. </w:t>
      </w:r>
      <w:r w:rsidR="00011292">
        <w:rPr>
          <w:rFonts w:ascii="Verdana" w:hAnsi="Verdana"/>
          <w:sz w:val="18"/>
          <w:szCs w:val="18"/>
        </w:rPr>
        <w:t>Grundejerne har også søgt kommunen om opsættende virkning</w:t>
      </w:r>
      <w:r w:rsidR="00755EDE">
        <w:rPr>
          <w:rFonts w:ascii="Verdana" w:hAnsi="Verdana"/>
          <w:sz w:val="18"/>
          <w:szCs w:val="18"/>
        </w:rPr>
        <w:t xml:space="preserve">, og søgt aktindsigt mange gange, og gennemgået hundredvis af dokumenter.  </w:t>
      </w:r>
    </w:p>
    <w:p w14:paraId="4945EFA8" w14:textId="15ED4562" w:rsidR="00D26858" w:rsidRDefault="00D26858" w:rsidP="00A81C43">
      <w:pPr>
        <w:tabs>
          <w:tab w:val="left" w:pos="1134"/>
        </w:tabs>
        <w:rPr>
          <w:rFonts w:ascii="Verdana" w:hAnsi="Verdana"/>
          <w:sz w:val="18"/>
          <w:szCs w:val="18"/>
        </w:rPr>
      </w:pPr>
      <w:r>
        <w:rPr>
          <w:rFonts w:ascii="Verdana" w:hAnsi="Verdana"/>
          <w:sz w:val="18"/>
          <w:szCs w:val="18"/>
        </w:rPr>
        <w:t xml:space="preserve"> </w:t>
      </w:r>
    </w:p>
    <w:p w14:paraId="4A8B76C7" w14:textId="534CE4EC" w:rsidR="00011292" w:rsidRDefault="00011292" w:rsidP="00A81C43">
      <w:pPr>
        <w:tabs>
          <w:tab w:val="left" w:pos="1134"/>
        </w:tabs>
        <w:rPr>
          <w:rFonts w:ascii="Verdana" w:hAnsi="Verdana"/>
          <w:sz w:val="18"/>
          <w:szCs w:val="18"/>
        </w:rPr>
      </w:pPr>
      <w:r>
        <w:rPr>
          <w:rFonts w:ascii="Verdana" w:hAnsi="Verdana"/>
          <w:sz w:val="18"/>
          <w:szCs w:val="18"/>
        </w:rPr>
        <w:t xml:space="preserve">Grundejerne arbejder forsat på at påvirke processen. </w:t>
      </w:r>
    </w:p>
    <w:p w14:paraId="47F71025" w14:textId="6C33302F" w:rsidR="00011292" w:rsidRDefault="00011292" w:rsidP="00A81C43">
      <w:pPr>
        <w:tabs>
          <w:tab w:val="left" w:pos="1134"/>
        </w:tabs>
        <w:rPr>
          <w:rFonts w:ascii="Verdana" w:hAnsi="Verdana"/>
          <w:sz w:val="18"/>
          <w:szCs w:val="18"/>
        </w:rPr>
      </w:pPr>
    </w:p>
    <w:p w14:paraId="02CC65A0" w14:textId="02906496" w:rsidR="00011292" w:rsidRDefault="00011292" w:rsidP="00A81C43">
      <w:pPr>
        <w:tabs>
          <w:tab w:val="left" w:pos="1134"/>
        </w:tabs>
        <w:rPr>
          <w:rFonts w:ascii="Verdana" w:hAnsi="Verdana"/>
          <w:sz w:val="18"/>
          <w:szCs w:val="18"/>
          <w:u w:val="single"/>
        </w:rPr>
      </w:pPr>
      <w:r w:rsidRPr="00011292">
        <w:rPr>
          <w:rFonts w:ascii="Verdana" w:hAnsi="Verdana"/>
          <w:sz w:val="18"/>
          <w:szCs w:val="18"/>
          <w:u w:val="single"/>
        </w:rPr>
        <w:t>Opsamling</w:t>
      </w:r>
    </w:p>
    <w:p w14:paraId="786F7B72" w14:textId="2C1578F6" w:rsidR="00011292" w:rsidRDefault="00011292" w:rsidP="00A81C43">
      <w:pPr>
        <w:tabs>
          <w:tab w:val="left" w:pos="1134"/>
        </w:tabs>
        <w:rPr>
          <w:rFonts w:ascii="Verdana" w:hAnsi="Verdana"/>
          <w:sz w:val="18"/>
          <w:szCs w:val="18"/>
        </w:rPr>
      </w:pPr>
      <w:r>
        <w:rPr>
          <w:rFonts w:ascii="Verdana" w:hAnsi="Verdana"/>
          <w:sz w:val="18"/>
          <w:szCs w:val="18"/>
        </w:rPr>
        <w:t>Arbejdsgruppen er forsat grundlæggende af den overbevisning, at aflysningen af servitutter</w:t>
      </w:r>
      <w:r w:rsidR="00755EDE">
        <w:rPr>
          <w:rFonts w:ascii="Verdana" w:hAnsi="Verdana"/>
          <w:sz w:val="18"/>
          <w:szCs w:val="18"/>
        </w:rPr>
        <w:t>ne</w:t>
      </w:r>
      <w:r>
        <w:rPr>
          <w:rFonts w:ascii="Verdana" w:hAnsi="Verdana"/>
          <w:sz w:val="18"/>
          <w:szCs w:val="18"/>
        </w:rPr>
        <w:t xml:space="preserve"> ikke er sket i henhold til foreningens vedtægter, og</w:t>
      </w:r>
      <w:r w:rsidR="00FF02B5">
        <w:rPr>
          <w:rFonts w:ascii="Verdana" w:hAnsi="Verdana"/>
          <w:sz w:val="18"/>
          <w:szCs w:val="18"/>
        </w:rPr>
        <w:t xml:space="preserve"> er</w:t>
      </w:r>
      <w:r>
        <w:rPr>
          <w:rFonts w:ascii="Verdana" w:hAnsi="Verdana"/>
          <w:sz w:val="18"/>
          <w:szCs w:val="18"/>
        </w:rPr>
        <w:t xml:space="preserve"> uforstående overfor processen hos Tinglysningen og deres afgørelse. Arbejdsgruppen har grundlæggende den opfattelse at bygherre har vildledt grundejerforeningens medlemmer i deres bestræbelser på, at få grundejerforeningen til at godkende aflysningen af servitutterne. Uden grundejerforeningens godkendelse ville tinglysningen ikke aflyse servitutterne. Dette fremgår allerede af bygherrens egen</w:t>
      </w:r>
      <w:r w:rsidR="00755EDE">
        <w:rPr>
          <w:rFonts w:ascii="Verdana" w:hAnsi="Verdana"/>
          <w:sz w:val="18"/>
          <w:szCs w:val="18"/>
        </w:rPr>
        <w:t xml:space="preserve"> tidligere offentliggjorte</w:t>
      </w:r>
      <w:r>
        <w:rPr>
          <w:rFonts w:ascii="Verdana" w:hAnsi="Verdana"/>
          <w:sz w:val="18"/>
          <w:szCs w:val="18"/>
        </w:rPr>
        <w:t xml:space="preserve"> redegørelse</w:t>
      </w:r>
      <w:r w:rsidR="00755EDE">
        <w:rPr>
          <w:rFonts w:ascii="Verdana" w:hAnsi="Verdana"/>
          <w:sz w:val="18"/>
          <w:szCs w:val="18"/>
        </w:rPr>
        <w:t xml:space="preserve"> som findes på strandholms.dk</w:t>
      </w:r>
      <w:r>
        <w:rPr>
          <w:rFonts w:ascii="Verdana" w:hAnsi="Verdana"/>
          <w:sz w:val="18"/>
          <w:szCs w:val="18"/>
        </w:rPr>
        <w:t xml:space="preserve"> </w:t>
      </w:r>
    </w:p>
    <w:p w14:paraId="15BBACE4" w14:textId="77777777" w:rsidR="00011292" w:rsidRDefault="00011292" w:rsidP="00A81C43">
      <w:pPr>
        <w:tabs>
          <w:tab w:val="left" w:pos="1134"/>
        </w:tabs>
        <w:rPr>
          <w:rFonts w:ascii="Verdana" w:hAnsi="Verdana"/>
          <w:sz w:val="18"/>
          <w:szCs w:val="18"/>
        </w:rPr>
      </w:pPr>
    </w:p>
    <w:p w14:paraId="53D21E39" w14:textId="44F6B6A4" w:rsidR="00755EDE" w:rsidRDefault="00011292" w:rsidP="00A81C43">
      <w:pPr>
        <w:tabs>
          <w:tab w:val="left" w:pos="1134"/>
        </w:tabs>
        <w:rPr>
          <w:rFonts w:ascii="Verdana" w:hAnsi="Verdana"/>
          <w:sz w:val="18"/>
          <w:szCs w:val="18"/>
        </w:rPr>
      </w:pPr>
      <w:r>
        <w:rPr>
          <w:rFonts w:ascii="Verdana" w:hAnsi="Verdana"/>
          <w:sz w:val="18"/>
          <w:szCs w:val="18"/>
        </w:rPr>
        <w:t>Arbejdsgruppen finder også Hvidovre Kommunes rolle og gøren stærkt utilfredsstillende, både i processen men også i forhold til dialogen med arbejdsgruppen.</w:t>
      </w:r>
      <w:r w:rsidR="00755EDE">
        <w:rPr>
          <w:rFonts w:ascii="Verdana" w:hAnsi="Verdana"/>
          <w:sz w:val="18"/>
          <w:szCs w:val="18"/>
        </w:rPr>
        <w:t xml:space="preserve"> Eksempelvis har vi fundet en korrespondance mellem bygherrens rådgiver og kommunen, hvor bygherrens rådgiver skriver således: </w:t>
      </w:r>
    </w:p>
    <w:p w14:paraId="629E25E1" w14:textId="53C87338" w:rsidR="00755EDE" w:rsidRDefault="00755EDE" w:rsidP="00A81C43">
      <w:pPr>
        <w:tabs>
          <w:tab w:val="left" w:pos="1134"/>
        </w:tabs>
        <w:rPr>
          <w:rFonts w:ascii="Verdana" w:hAnsi="Verdana"/>
          <w:sz w:val="18"/>
          <w:szCs w:val="18"/>
        </w:rPr>
      </w:pPr>
      <w:r>
        <w:rPr>
          <w:noProof/>
        </w:rPr>
        <w:drawing>
          <wp:anchor distT="0" distB="0" distL="114300" distR="114300" simplePos="0" relativeHeight="251658240" behindDoc="0" locked="0" layoutInCell="1" allowOverlap="1" wp14:anchorId="7E291215" wp14:editId="4BB3482A">
            <wp:simplePos x="0" y="0"/>
            <wp:positionH relativeFrom="column">
              <wp:posOffset>380411</wp:posOffset>
            </wp:positionH>
            <wp:positionV relativeFrom="paragraph">
              <wp:posOffset>92066</wp:posOffset>
            </wp:positionV>
            <wp:extent cx="5155007" cy="365539"/>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55007" cy="365539"/>
                    </a:xfrm>
                    <a:prstGeom prst="rect">
                      <a:avLst/>
                    </a:prstGeom>
                  </pic:spPr>
                </pic:pic>
              </a:graphicData>
            </a:graphic>
          </wp:anchor>
        </w:drawing>
      </w:r>
    </w:p>
    <w:p w14:paraId="2C0DAF86" w14:textId="4BF902C9" w:rsidR="00755EDE" w:rsidRDefault="00755EDE" w:rsidP="00A81C43">
      <w:pPr>
        <w:tabs>
          <w:tab w:val="left" w:pos="1134"/>
        </w:tabs>
        <w:rPr>
          <w:rFonts w:ascii="Verdana" w:hAnsi="Verdana"/>
          <w:sz w:val="18"/>
          <w:szCs w:val="18"/>
        </w:rPr>
      </w:pPr>
    </w:p>
    <w:p w14:paraId="2AECB1E3" w14:textId="77777777" w:rsidR="00755EDE" w:rsidRDefault="00755EDE" w:rsidP="00A81C43">
      <w:pPr>
        <w:tabs>
          <w:tab w:val="left" w:pos="1134"/>
        </w:tabs>
        <w:rPr>
          <w:rFonts w:ascii="Verdana" w:hAnsi="Verdana"/>
          <w:sz w:val="18"/>
          <w:szCs w:val="18"/>
        </w:rPr>
      </w:pPr>
    </w:p>
    <w:p w14:paraId="5D43CD4E" w14:textId="37E45903" w:rsidR="00755EDE" w:rsidRDefault="00755EDE" w:rsidP="00A81C43">
      <w:pPr>
        <w:tabs>
          <w:tab w:val="left" w:pos="1134"/>
        </w:tabs>
        <w:rPr>
          <w:rFonts w:ascii="Verdana" w:hAnsi="Verdana"/>
          <w:sz w:val="18"/>
          <w:szCs w:val="18"/>
        </w:rPr>
      </w:pPr>
    </w:p>
    <w:p w14:paraId="6F4BF7B0" w14:textId="77777777" w:rsidR="00A81C43" w:rsidRDefault="00A81C43" w:rsidP="00A81C43">
      <w:pPr>
        <w:tabs>
          <w:tab w:val="left" w:pos="1418"/>
        </w:tabs>
        <w:rPr>
          <w:rFonts w:ascii="Verdana" w:hAnsi="Verdana"/>
          <w:sz w:val="18"/>
          <w:szCs w:val="18"/>
        </w:rPr>
      </w:pPr>
      <w:r>
        <w:rPr>
          <w:rFonts w:ascii="Verdana" w:hAnsi="Verdana"/>
          <w:sz w:val="18"/>
          <w:szCs w:val="18"/>
        </w:rPr>
        <w:t>Venlig hilsen</w:t>
      </w:r>
    </w:p>
    <w:p w14:paraId="43AAC16A" w14:textId="77777777" w:rsidR="00A81C43" w:rsidRDefault="00A81C43" w:rsidP="00A81C43">
      <w:pPr>
        <w:tabs>
          <w:tab w:val="left" w:pos="1418"/>
        </w:tabs>
        <w:rPr>
          <w:rFonts w:ascii="Verdana" w:hAnsi="Verdana"/>
          <w:sz w:val="18"/>
          <w:szCs w:val="18"/>
        </w:rPr>
      </w:pPr>
    </w:p>
    <w:p w14:paraId="08CAE530" w14:textId="5C1B7D2F" w:rsidR="00A81C43" w:rsidRDefault="00D26858" w:rsidP="00A81C43">
      <w:pPr>
        <w:tabs>
          <w:tab w:val="left" w:pos="1418"/>
        </w:tabs>
        <w:rPr>
          <w:rFonts w:ascii="Verdana" w:hAnsi="Verdana"/>
          <w:sz w:val="18"/>
          <w:szCs w:val="18"/>
        </w:rPr>
      </w:pPr>
      <w:r>
        <w:rPr>
          <w:rFonts w:ascii="Verdana" w:hAnsi="Verdana"/>
          <w:sz w:val="18"/>
          <w:szCs w:val="18"/>
        </w:rPr>
        <w:t>Arbejdsgruppen</w:t>
      </w:r>
    </w:p>
    <w:p w14:paraId="756C4379" w14:textId="7C872299" w:rsidR="00A81C43" w:rsidRDefault="00A81C43" w:rsidP="00A81C43">
      <w:pPr>
        <w:tabs>
          <w:tab w:val="left" w:pos="1418"/>
        </w:tabs>
        <w:rPr>
          <w:rFonts w:ascii="Verdana" w:hAnsi="Verdana"/>
          <w:sz w:val="18"/>
          <w:szCs w:val="18"/>
        </w:rPr>
      </w:pPr>
    </w:p>
    <w:p w14:paraId="674751AC" w14:textId="351386AC" w:rsidR="00011292" w:rsidRDefault="00011292" w:rsidP="00A81C43">
      <w:pPr>
        <w:tabs>
          <w:tab w:val="left" w:pos="1418"/>
        </w:tabs>
        <w:rPr>
          <w:rFonts w:ascii="Verdana" w:hAnsi="Verdana"/>
          <w:sz w:val="18"/>
          <w:szCs w:val="18"/>
        </w:rPr>
      </w:pPr>
      <w:r>
        <w:rPr>
          <w:rFonts w:ascii="Verdana" w:hAnsi="Verdana"/>
          <w:sz w:val="18"/>
          <w:szCs w:val="18"/>
        </w:rPr>
        <w:t>Bilag:</w:t>
      </w:r>
    </w:p>
    <w:p w14:paraId="62F734AC" w14:textId="722A4730" w:rsidR="00011292" w:rsidRDefault="00011292" w:rsidP="00A81C43">
      <w:pPr>
        <w:tabs>
          <w:tab w:val="left" w:pos="1418"/>
        </w:tabs>
        <w:rPr>
          <w:rFonts w:ascii="Verdana" w:hAnsi="Verdana"/>
          <w:sz w:val="18"/>
          <w:szCs w:val="18"/>
        </w:rPr>
      </w:pPr>
      <w:r>
        <w:rPr>
          <w:rFonts w:ascii="Verdana" w:hAnsi="Verdana"/>
          <w:sz w:val="18"/>
          <w:szCs w:val="18"/>
        </w:rPr>
        <w:t>Korrespondance med Hvidovre Kommune</w:t>
      </w:r>
    </w:p>
    <w:p w14:paraId="7FFB7AC6" w14:textId="052ABACC" w:rsidR="00011292" w:rsidRDefault="00011292" w:rsidP="00A81C43">
      <w:pPr>
        <w:tabs>
          <w:tab w:val="left" w:pos="1418"/>
        </w:tabs>
        <w:rPr>
          <w:rFonts w:ascii="Verdana" w:hAnsi="Verdana"/>
          <w:sz w:val="18"/>
          <w:szCs w:val="18"/>
        </w:rPr>
      </w:pPr>
      <w:r>
        <w:rPr>
          <w:rFonts w:ascii="Verdana" w:hAnsi="Verdana"/>
          <w:sz w:val="18"/>
          <w:szCs w:val="18"/>
        </w:rPr>
        <w:t>Ansøgning til Landsretten</w:t>
      </w:r>
    </w:p>
    <w:p w14:paraId="784E4906" w14:textId="6666345C" w:rsidR="00011292" w:rsidRDefault="00011292" w:rsidP="00A81C43">
      <w:pPr>
        <w:tabs>
          <w:tab w:val="left" w:pos="1418"/>
        </w:tabs>
        <w:rPr>
          <w:rFonts w:ascii="Verdana" w:hAnsi="Verdana"/>
          <w:sz w:val="18"/>
          <w:szCs w:val="18"/>
        </w:rPr>
      </w:pPr>
      <w:r>
        <w:rPr>
          <w:rFonts w:ascii="Verdana" w:hAnsi="Verdana"/>
          <w:sz w:val="18"/>
          <w:szCs w:val="18"/>
        </w:rPr>
        <w:t>Kære</w:t>
      </w:r>
      <w:r w:rsidR="00755EDE">
        <w:rPr>
          <w:rFonts w:ascii="Verdana" w:hAnsi="Verdana"/>
          <w:sz w:val="18"/>
          <w:szCs w:val="18"/>
        </w:rPr>
        <w:t>skrift</w:t>
      </w:r>
      <w:r>
        <w:rPr>
          <w:rFonts w:ascii="Verdana" w:hAnsi="Verdana"/>
          <w:sz w:val="18"/>
          <w:szCs w:val="18"/>
        </w:rPr>
        <w:t xml:space="preserve"> til Landsretten</w:t>
      </w:r>
    </w:p>
    <w:p w14:paraId="25DA52A4" w14:textId="4C4E70E8" w:rsidR="00011292" w:rsidRDefault="00011292" w:rsidP="00A81C43">
      <w:pPr>
        <w:tabs>
          <w:tab w:val="left" w:pos="1418"/>
        </w:tabs>
        <w:rPr>
          <w:rFonts w:ascii="Verdana" w:hAnsi="Verdana"/>
          <w:sz w:val="18"/>
          <w:szCs w:val="18"/>
        </w:rPr>
      </w:pPr>
      <w:r>
        <w:rPr>
          <w:rFonts w:ascii="Verdana" w:hAnsi="Verdana"/>
          <w:sz w:val="18"/>
          <w:szCs w:val="18"/>
        </w:rPr>
        <w:t>Afgørelse fra Landsretten</w:t>
      </w:r>
    </w:p>
    <w:p w14:paraId="36EAFBCC" w14:textId="5402795D" w:rsidR="00011292" w:rsidRDefault="00011292" w:rsidP="00A81C43">
      <w:pPr>
        <w:tabs>
          <w:tab w:val="left" w:pos="1418"/>
        </w:tabs>
        <w:rPr>
          <w:rFonts w:ascii="Verdana" w:hAnsi="Verdana"/>
          <w:sz w:val="18"/>
          <w:szCs w:val="18"/>
        </w:rPr>
      </w:pPr>
      <w:r>
        <w:rPr>
          <w:rFonts w:ascii="Verdana" w:hAnsi="Verdana"/>
          <w:sz w:val="18"/>
          <w:szCs w:val="18"/>
        </w:rPr>
        <w:t>Ansøgning til Procesbevillingsnævnet</w:t>
      </w:r>
    </w:p>
    <w:p w14:paraId="17D8E470" w14:textId="7D31ED10" w:rsidR="00A81C43" w:rsidRDefault="00011292" w:rsidP="00A81C43">
      <w:pPr>
        <w:tabs>
          <w:tab w:val="left" w:pos="1418"/>
        </w:tabs>
        <w:rPr>
          <w:rFonts w:ascii="Verdana" w:hAnsi="Verdana"/>
          <w:sz w:val="18"/>
          <w:szCs w:val="18"/>
        </w:rPr>
      </w:pPr>
      <w:r>
        <w:rPr>
          <w:rFonts w:ascii="Verdana" w:hAnsi="Verdana"/>
          <w:sz w:val="18"/>
          <w:szCs w:val="18"/>
        </w:rPr>
        <w:t>Afgørelsen fra Procesbevillingsnævnet</w:t>
      </w:r>
    </w:p>
    <w:sectPr w:rsidR="00A81C43" w:rsidSect="00755EDE">
      <w:footerReference w:type="default" r:id="rId8"/>
      <w:pgSz w:w="11900" w:h="16840"/>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66AC" w14:textId="77777777" w:rsidR="00756C6A" w:rsidRDefault="00756C6A">
      <w:r>
        <w:separator/>
      </w:r>
    </w:p>
  </w:endnote>
  <w:endnote w:type="continuationSeparator" w:id="0">
    <w:p w14:paraId="60E54E62" w14:textId="77777777" w:rsidR="00756C6A" w:rsidRDefault="0075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F267" w14:textId="77777777" w:rsidR="00711773" w:rsidRDefault="00756C6A" w:rsidP="00711773">
    <w:pPr>
      <w:pStyle w:val="Sidefod"/>
      <w:rPr>
        <w:rFonts w:ascii="Verdana" w:hAnsi="Verdana"/>
        <w:sz w:val="14"/>
        <w:szCs w:val="14"/>
      </w:rPr>
    </w:pPr>
  </w:p>
  <w:p w14:paraId="79B21429" w14:textId="77777777" w:rsidR="00711773" w:rsidRDefault="00756C6A" w:rsidP="00711773">
    <w:pPr>
      <w:pStyle w:val="Sidefod"/>
      <w:rPr>
        <w:rFonts w:ascii="Verdana" w:hAnsi="Verdana"/>
        <w:sz w:val="14"/>
        <w:szCs w:val="14"/>
      </w:rPr>
    </w:pPr>
  </w:p>
  <w:p w14:paraId="3FBC5252" w14:textId="77777777" w:rsidR="00711773" w:rsidRDefault="00756C6A" w:rsidP="00711773">
    <w:pPr>
      <w:pStyle w:val="Sidefod"/>
      <w:rPr>
        <w:rFonts w:ascii="Verdana" w:hAnsi="Verdana"/>
        <w:sz w:val="14"/>
        <w:szCs w:val="14"/>
      </w:rPr>
    </w:pPr>
  </w:p>
  <w:p w14:paraId="36AEDD25" w14:textId="77777777" w:rsidR="00B664E2" w:rsidRDefault="00756C6A" w:rsidP="00B664E2">
    <w:pPr>
      <w:pStyle w:val="Sidefod"/>
      <w:ind w:left="1701" w:firstLine="4819"/>
      <w:rPr>
        <w:rFonts w:ascii="Verdana" w:hAnsi="Verdana"/>
        <w:sz w:val="14"/>
        <w:szCs w:val="14"/>
      </w:rPr>
    </w:pPr>
  </w:p>
  <w:p w14:paraId="6D66A79C" w14:textId="77777777" w:rsidR="00B664E2" w:rsidRPr="00B664E2" w:rsidRDefault="00756C6A" w:rsidP="00B664E2">
    <w:pPr>
      <w:pStyle w:val="Sidefod"/>
      <w:ind w:left="1701" w:firstLine="4819"/>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1AA3" w14:textId="77777777" w:rsidR="00756C6A" w:rsidRDefault="00756C6A">
      <w:r>
        <w:separator/>
      </w:r>
    </w:p>
  </w:footnote>
  <w:footnote w:type="continuationSeparator" w:id="0">
    <w:p w14:paraId="1D37FEBA" w14:textId="77777777" w:rsidR="00756C6A" w:rsidRDefault="00756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06DDE"/>
    <w:multiLevelType w:val="hybridMultilevel"/>
    <w:tmpl w:val="AED80FCC"/>
    <w:lvl w:ilvl="0" w:tplc="0409000F">
      <w:start w:val="1"/>
      <w:numFmt w:val="decimal"/>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43"/>
    <w:rsid w:val="00011292"/>
    <w:rsid w:val="001A379E"/>
    <w:rsid w:val="0040088D"/>
    <w:rsid w:val="004E759C"/>
    <w:rsid w:val="006A7057"/>
    <w:rsid w:val="00755EDE"/>
    <w:rsid w:val="00756C6A"/>
    <w:rsid w:val="007D4F99"/>
    <w:rsid w:val="008C6DF6"/>
    <w:rsid w:val="00A81C43"/>
    <w:rsid w:val="00B66E36"/>
    <w:rsid w:val="00C01FE4"/>
    <w:rsid w:val="00D26858"/>
    <w:rsid w:val="00FF02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7A81"/>
  <w15:chartTrackingRefBased/>
  <w15:docId w15:val="{B18FAE06-AE62-4BFA-9AD5-B37F668C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C43"/>
    <w:pPr>
      <w:spacing w:after="0" w:line="240" w:lineRule="auto"/>
    </w:pPr>
    <w:rPr>
      <w:rFonts w:eastAsiaTheme="minorEastAsia"/>
      <w:sz w:val="24"/>
      <w:szCs w:val="24"/>
      <w:lang w:eastAsia="da-DK"/>
    </w:rPr>
  </w:style>
  <w:style w:type="paragraph" w:styleId="Overskrift1">
    <w:name w:val="heading 1"/>
    <w:basedOn w:val="Normal"/>
    <w:next w:val="Normal"/>
    <w:link w:val="Overskrift1Tegn"/>
    <w:uiPriority w:val="9"/>
    <w:qFormat/>
    <w:rsid w:val="008C6DF6"/>
    <w:pPr>
      <w:keepNext/>
      <w:keepLines/>
      <w:spacing w:before="480"/>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iPriority w:val="9"/>
    <w:semiHidden/>
    <w:unhideWhenUsed/>
    <w:qFormat/>
    <w:rsid w:val="008C6DF6"/>
    <w:pPr>
      <w:keepNext/>
      <w:keepLines/>
      <w:spacing w:before="200"/>
      <w:outlineLvl w:val="1"/>
    </w:pPr>
    <w:rPr>
      <w:rFonts w:eastAsiaTheme="majorEastAsia" w:cstheme="majorBidi"/>
      <w:b/>
      <w:bCs/>
      <w:color w:val="000000" w:themeColor="text1"/>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C6DF6"/>
    <w:rPr>
      <w:rFonts w:ascii="Times New Roman" w:eastAsiaTheme="majorEastAsia" w:hAnsi="Times New Roman" w:cstheme="majorBidi"/>
      <w:b/>
      <w:bCs/>
      <w:color w:val="000000" w:themeColor="text1"/>
      <w:sz w:val="28"/>
      <w:szCs w:val="28"/>
    </w:rPr>
  </w:style>
  <w:style w:type="character" w:customStyle="1" w:styleId="Overskrift2Tegn">
    <w:name w:val="Overskrift 2 Tegn"/>
    <w:basedOn w:val="Standardskrifttypeiafsnit"/>
    <w:link w:val="Overskrift2"/>
    <w:uiPriority w:val="9"/>
    <w:semiHidden/>
    <w:rsid w:val="008C6DF6"/>
    <w:rPr>
      <w:rFonts w:ascii="Times New Roman" w:eastAsiaTheme="majorEastAsia" w:hAnsi="Times New Roman" w:cstheme="majorBidi"/>
      <w:b/>
      <w:bCs/>
      <w:color w:val="000000" w:themeColor="text1"/>
      <w:sz w:val="26"/>
      <w:szCs w:val="26"/>
    </w:rPr>
  </w:style>
  <w:style w:type="paragraph" w:styleId="Titel">
    <w:name w:val="Title"/>
    <w:basedOn w:val="Normal"/>
    <w:next w:val="Normal"/>
    <w:link w:val="TitelTegn"/>
    <w:uiPriority w:val="10"/>
    <w:qFormat/>
    <w:rsid w:val="0040088D"/>
    <w:pPr>
      <w:pBdr>
        <w:bottom w:val="single" w:sz="8" w:space="4" w:color="000000" w:themeColor="text1"/>
      </w:pBdr>
      <w:spacing w:after="300"/>
      <w:contextualSpacing/>
    </w:pPr>
    <w:rPr>
      <w:rFonts w:eastAsiaTheme="majorEastAsia" w:cstheme="majorBidi"/>
      <w:color w:val="000000" w:themeColor="text1"/>
      <w:spacing w:val="5"/>
      <w:kern w:val="28"/>
      <w:sz w:val="52"/>
      <w:szCs w:val="52"/>
    </w:rPr>
  </w:style>
  <w:style w:type="character" w:customStyle="1" w:styleId="TitelTegn">
    <w:name w:val="Titel Tegn"/>
    <w:basedOn w:val="Standardskrifttypeiafsnit"/>
    <w:link w:val="Titel"/>
    <w:uiPriority w:val="10"/>
    <w:rsid w:val="0040088D"/>
    <w:rPr>
      <w:rFonts w:ascii="Times New Roman" w:eastAsiaTheme="majorEastAsia" w:hAnsi="Times New Roman" w:cstheme="majorBidi"/>
      <w:color w:val="000000" w:themeColor="text1"/>
      <w:spacing w:val="5"/>
      <w:kern w:val="28"/>
      <w:sz w:val="52"/>
      <w:szCs w:val="52"/>
    </w:rPr>
  </w:style>
  <w:style w:type="paragraph" w:styleId="Undertitel">
    <w:name w:val="Subtitle"/>
    <w:basedOn w:val="Normal"/>
    <w:next w:val="Normal"/>
    <w:link w:val="UndertitelTegn"/>
    <w:uiPriority w:val="11"/>
    <w:qFormat/>
    <w:rsid w:val="008C6DF6"/>
    <w:pPr>
      <w:numPr>
        <w:ilvl w:val="1"/>
      </w:numPr>
    </w:pPr>
    <w:rPr>
      <w:rFonts w:eastAsiaTheme="majorEastAsia" w:cstheme="majorBidi"/>
      <w:i/>
      <w:iCs/>
      <w:color w:val="000000" w:themeColor="text1"/>
      <w:spacing w:val="15"/>
    </w:rPr>
  </w:style>
  <w:style w:type="character" w:customStyle="1" w:styleId="UndertitelTegn">
    <w:name w:val="Undertitel Tegn"/>
    <w:basedOn w:val="Standardskrifttypeiafsnit"/>
    <w:link w:val="Undertitel"/>
    <w:uiPriority w:val="11"/>
    <w:rsid w:val="008C6DF6"/>
    <w:rPr>
      <w:rFonts w:ascii="Times New Roman" w:eastAsiaTheme="majorEastAsia" w:hAnsi="Times New Roman" w:cstheme="majorBidi"/>
      <w:i/>
      <w:iCs/>
      <w:color w:val="000000" w:themeColor="text1"/>
      <w:spacing w:val="15"/>
      <w:sz w:val="24"/>
      <w:szCs w:val="24"/>
    </w:rPr>
  </w:style>
  <w:style w:type="paragraph" w:styleId="Listeafsnit">
    <w:name w:val="List Paragraph"/>
    <w:basedOn w:val="Normal"/>
    <w:uiPriority w:val="34"/>
    <w:qFormat/>
    <w:rsid w:val="00A81C43"/>
    <w:pPr>
      <w:ind w:left="720"/>
      <w:contextualSpacing/>
    </w:pPr>
  </w:style>
  <w:style w:type="paragraph" w:styleId="Sidefod">
    <w:name w:val="footer"/>
    <w:basedOn w:val="Normal"/>
    <w:link w:val="SidefodTegn"/>
    <w:uiPriority w:val="99"/>
    <w:unhideWhenUsed/>
    <w:rsid w:val="00A81C43"/>
    <w:pPr>
      <w:tabs>
        <w:tab w:val="center" w:pos="4819"/>
        <w:tab w:val="right" w:pos="9638"/>
      </w:tabs>
    </w:pPr>
  </w:style>
  <w:style w:type="character" w:customStyle="1" w:styleId="SidefodTegn">
    <w:name w:val="Sidefod Tegn"/>
    <w:basedOn w:val="Standardskrifttypeiafsnit"/>
    <w:link w:val="Sidefod"/>
    <w:uiPriority w:val="99"/>
    <w:rsid w:val="00A81C43"/>
    <w:rPr>
      <w:rFonts w:eastAsiaTheme="minorEastAsia"/>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480</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Ekelund Andersen</dc:creator>
  <cp:keywords/>
  <dc:description/>
  <cp:lastModifiedBy>Jonas Ekelund Andersen</cp:lastModifiedBy>
  <cp:revision>4</cp:revision>
  <dcterms:created xsi:type="dcterms:W3CDTF">2022-03-10T20:13:00Z</dcterms:created>
  <dcterms:modified xsi:type="dcterms:W3CDTF">2022-05-31T20:03:00Z</dcterms:modified>
</cp:coreProperties>
</file>